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1864.xml.htm"/>
      <w:bookmarkStart w:id="1" w:name="kswkform4_17833718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Sanders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APPLIED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3050 BOWERS AV. P.O. BOX 58039, M/S 1268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95052-8039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APPLIED MATERIALS INC /DE</w:t>
              </w:r>
            </w:hyperlink>
            <w:r>
              <w:rPr/>
              <w:t xml:space="preserve"> [ </w:t>
            </w:r>
            <w:r>
              <w:rPr>
                <w:rFonts w:ascii="Times;serif" w:hAnsi="Times;serif"/>
                <w:color w:val="0000FF"/>
                <w:sz w:val="24"/>
                <w:shd w:fill="FFFFFF" w:val="clear"/>
              </w:rPr>
              <w:t>AMAT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Corp. Controller &amp;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650.91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4,155</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number of shares that were automatically withheld upon vesting of restricted stock units to cover tax withholding obligations in a transaction exempt under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Number of shares includes 3,780 restricted stock units previously reported that in the future will be converted on a one-for-one basis into shares of Applied Materials, Inc. common stock upon vesting, which vesting is scheduled to occur in installments in October of 2026 through January of 2030 (all vesting is subject to continued employment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Christian,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4019" TargetMode="External"/><Relationship Id="rId5" Type="http://schemas.openxmlformats.org/officeDocument/2006/relationships/hyperlink" Target="http://www.sec.gov/cgi-bin/browse-edgar?action=getcompany&amp;CIK=00000069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3592</Characters>
  <CharactersWithSpaces>4189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