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Deane Timothy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APPLIED MATERIALS,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3050 BOWERS AV P.O. BOX 58039, M/S 1268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APPLIED MATERIALS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AMAT</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SVP, Applied Global Services</w:t>
      </w:r>
    </w:p>
    <w:p>
      <w:pPr>
        <w:spacing w:after="0" w:line="562" w:lineRule="exact"/>
        <w:rPr>
          <w:sz w:val="24"/>
          <w:szCs w:val="24"/>
          <w:color w:val="auto"/>
        </w:rPr>
      </w:pPr>
    </w:p>
    <w:p>
      <w:pPr>
        <w:sectPr>
          <w:pgSz w:w="11900" w:h="16838" w:orient="portrait"/>
          <w:cols w:equalWidth="0" w:num="3">
            <w:col w:w="3500" w:space="420"/>
            <w:col w:w="3600" w:space="2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80" w:type="dxa"/>
            <w:vAlign w:val="bottom"/>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95052-8039</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4"/>
          </w:tcPr>
          <w:p>
            <w:pPr>
              <w:ind w:left="720"/>
              <w:spacing w:after="0"/>
              <w:rPr>
                <w:sz w:val="20"/>
                <w:szCs w:val="20"/>
                <w:color w:val="auto"/>
              </w:rPr>
            </w:pPr>
            <w:r>
              <w:rPr>
                <w:rFonts w:ascii="Times New Roman" w:cs="Times New Roman" w:eastAsia="Times New Roman" w:hAnsi="Times New Roman"/>
                <w:sz w:val="17"/>
                <w:szCs w:val="17"/>
                <w:color w:val="0000FF"/>
              </w:rPr>
              <w:t>06/15/2026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8,621</w:t>
            </w:r>
          </w:p>
        </w:tc>
        <w:tc>
          <w:tcPr>
            <w:tcW w:w="5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590.7649</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7"/>
                <w:szCs w:val="17"/>
                <w:color w:val="0000FF"/>
              </w:rPr>
              <w:t>134,631</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7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0000FF"/>
              </w:rPr>
              <w:t>06/15/2026</w:t>
            </w:r>
          </w:p>
        </w:tc>
        <w:tc>
          <w:tcPr>
            <w:tcW w:w="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1,545</w:t>
            </w:r>
          </w:p>
        </w:tc>
        <w:tc>
          <w:tcPr>
            <w:tcW w:w="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133,086</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Increased number of shares reflects periodic payroll acquisitions under Employees' Stock Purchase Plan that are exempt under Rule 16a-3 and Rule 16b-3. Number of shares includes 65,058 performance share units and restricted stock units previously reported that in the future will be converted on a one-for-one basis into shares of Applied Materials, Inc. common stock upon vesting, which vesting is scheduled to occur as follows: (a) 28,867 restricted stock units are scheduled to vest in installments in October of 2026 and December of 2026 through 2028, and (b) 36,191 performance share units are scheduled to vest in installments in December of 2026 through 2028, which number of shares is the target amount, and the actual number of shares that may vest ranges from 0% to 200% of the target amount, depending on achievement of specified performance goals (all vesting is subject to continued employment through each applicable vesting date).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Brendan Christian,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40" w:type="dxa"/>
            <w:vAlign w:val="bottom"/>
            <w:tcBorders>
              <w:top w:val="single" w:sz="8" w:color="auto"/>
            </w:tcBorders>
            <w:vMerge w:val="restart"/>
          </w:tcPr>
          <w:p>
            <w:pPr>
              <w:spacing w:after="0"/>
              <w:rPr>
                <w:sz w:val="7"/>
                <w:szCs w:val="7"/>
                <w:color w:val="auto"/>
              </w:rPr>
            </w:pP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40" w:type="dxa"/>
            <w:vAlign w:val="bottom"/>
            <w:tcBorders>
              <w:top w:val="single" w:sz="8" w:color="auto"/>
            </w:tcBorders>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5425" TargetMode="External"/><Relationship Id="rId14" Type="http://schemas.openxmlformats.org/officeDocument/2006/relationships/hyperlink" Target="http://www.sec.gov/cgi-bin/browse-edgar?action=getcompany&amp;CIK=0000006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2026-06-17T16:58:54Z</dcterms:created>
  <dcterms:modified xsi:type="dcterms:W3CDTF">2026-06-17T16:58:54Z</dcterms:modified>
</cp:coreProperties>
</file>