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Sanders Adam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APPLIED MATERIALS,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3050 BOWERS AV. P.O. BOX 58039, M/S 1268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APPLIED MATERIALS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AMAT</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Corp. Controller &amp; CAO</w:t>
      </w:r>
    </w:p>
    <w:p>
      <w:pPr>
        <w:spacing w:after="0" w:line="562" w:lineRule="exact"/>
        <w:rPr>
          <w:sz w:val="24"/>
          <w:szCs w:val="24"/>
          <w:color w:val="auto"/>
        </w:rPr>
      </w:pPr>
    </w:p>
    <w:p>
      <w:pPr>
        <w:sectPr>
          <w:pgSz w:w="11900" w:h="16838" w:orient="portrait"/>
          <w:cols w:equalWidth="0" w:num="3">
            <w:col w:w="3520" w:space="400"/>
            <w:col w:w="3600" w:space="2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95052-8039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125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353.8</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4,548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number of shares that were automatically withheld upon vesting of restricted stock units to cover tax withholding obligations in a transaction exempt under Rule 16b-3.</w:t>
      </w:r>
    </w:p>
    <w:p>
      <w:pPr>
        <w:spacing w:after="0" w:line="5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Increased number of shares reflects periodic payroll acquisitions under Employees' Stock Purchase Plan that are exempt under Rule 16a-3 and Rule 16b-3. Number of shares includes 4,134 restricted stock units previously reported that in the future will be converted on a one-for-one basis into shares of Applied Materials, Inc. common stock upon vesting, which vesting is scheduled to occur in installments in July of 2026 through January of 2030 (all vesting is subject to continued employment through each applicable vesting date).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To-Anh Nguyen, Attorney- </w:t>
      </w:r>
      <w:r>
        <w:rPr>
          <w:rFonts w:ascii="Times New Roman" w:cs="Times New Roman" w:eastAsia="Times New Roman" w:hAnsi="Times New Roman"/>
          <w:sz w:val="34"/>
          <w:szCs w:val="34"/>
          <w:color w:val="0000FF"/>
          <w:vertAlign w:val="subscript"/>
        </w:rPr>
        <w:t>04/02/2026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0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14019" TargetMode="External"/><Relationship Id="rId14" Type="http://schemas.openxmlformats.org/officeDocument/2006/relationships/hyperlink" Target="http://www.sec.gov/cgi-bin/browse-edgar?action=getcompany&amp;CIK=00000069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2026-04-02T17:45:29Z</dcterms:created>
  <dcterms:modified xsi:type="dcterms:W3CDTF">2026-04-02T17:45:29Z</dcterms:modified>
</cp:coreProperties>
</file>